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1" w:rsidRPr="00B65D47" w:rsidRDefault="009933A6" w:rsidP="00CA249C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F1CBF" w:rsidRPr="00B65D47">
        <w:rPr>
          <w:b/>
          <w:sz w:val="28"/>
        </w:rPr>
        <w:t xml:space="preserve">Undergraduate </w:t>
      </w:r>
      <w:r w:rsidR="00CA249C" w:rsidRPr="00B65D47">
        <w:rPr>
          <w:b/>
          <w:sz w:val="28"/>
        </w:rPr>
        <w:t>Curriculum</w:t>
      </w:r>
      <w:r w:rsidR="009F1CBF" w:rsidRPr="00B65D47">
        <w:rPr>
          <w:b/>
          <w:sz w:val="28"/>
        </w:rPr>
        <w:t xml:space="preserve"> Council</w:t>
      </w:r>
    </w:p>
    <w:p w:rsidR="00CA249C" w:rsidRPr="00CA249C" w:rsidRDefault="00CA249C" w:rsidP="00CA249C">
      <w:pPr>
        <w:spacing w:line="240" w:lineRule="auto"/>
        <w:contextualSpacing/>
        <w:jc w:val="center"/>
        <w:rPr>
          <w:b/>
        </w:rPr>
      </w:pPr>
    </w:p>
    <w:p w:rsidR="009F1CBF" w:rsidRPr="00CA249C" w:rsidRDefault="00F9651E" w:rsidP="00CA249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April </w:t>
      </w:r>
      <w:r w:rsidR="009933A6">
        <w:rPr>
          <w:b/>
        </w:rPr>
        <w:t>22</w:t>
      </w:r>
      <w:r w:rsidR="009F1CBF" w:rsidRPr="00CA249C">
        <w:rPr>
          <w:b/>
        </w:rPr>
        <w:t>, 2016</w:t>
      </w: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Graduate School Conference Room</w:t>
      </w:r>
    </w:p>
    <w:p w:rsidR="009F1CBF" w:rsidRPr="00EF232D" w:rsidRDefault="009F1CBF" w:rsidP="00CA249C">
      <w:pPr>
        <w:spacing w:line="240" w:lineRule="auto"/>
        <w:contextualSpacing/>
        <w:jc w:val="center"/>
        <w:rPr>
          <w:b/>
        </w:rPr>
      </w:pPr>
      <w:r w:rsidRPr="00EF232D">
        <w:rPr>
          <w:b/>
        </w:rPr>
        <w:t>2 p.m.</w:t>
      </w:r>
    </w:p>
    <w:p w:rsidR="009F1CBF" w:rsidRPr="00EF232D" w:rsidRDefault="009F1CBF">
      <w:r w:rsidRPr="00EF232D">
        <w:rPr>
          <w:b/>
        </w:rPr>
        <w:t>Present:</w:t>
      </w:r>
      <w:r w:rsidRPr="00EF232D">
        <w:t xml:space="preserve"> Kim </w:t>
      </w:r>
      <w:proofErr w:type="spellStart"/>
      <w:r w:rsidRPr="00EF232D">
        <w:t>Pittcock</w:t>
      </w:r>
      <w:proofErr w:type="spellEnd"/>
      <w:r w:rsidRPr="00EF232D">
        <w:t xml:space="preserve">, </w:t>
      </w:r>
      <w:r w:rsidR="002B1EC1" w:rsidRPr="00EF232D">
        <w:t xml:space="preserve">John </w:t>
      </w:r>
      <w:proofErr w:type="spellStart"/>
      <w:r w:rsidRPr="00EF232D">
        <w:t>Seydel</w:t>
      </w:r>
      <w:proofErr w:type="spellEnd"/>
      <w:r w:rsidRPr="00EF232D">
        <w:t xml:space="preserve">, </w:t>
      </w:r>
      <w:r w:rsidR="00EF232D" w:rsidRPr="00EF232D">
        <w:t xml:space="preserve">Paula Bradberry (also proxy for </w:t>
      </w:r>
      <w:r w:rsidRPr="00EF232D">
        <w:t>Joanna Grymes</w:t>
      </w:r>
      <w:r w:rsidR="00EF232D" w:rsidRPr="00EF232D">
        <w:t>)</w:t>
      </w:r>
      <w:r w:rsidR="002B1EC1" w:rsidRPr="00EF232D">
        <w:t>,</w:t>
      </w:r>
      <w:r w:rsidRPr="00EF232D">
        <w:t xml:space="preserve"> Warren Johnson</w:t>
      </w:r>
      <w:r w:rsidR="00EF232D" w:rsidRPr="00EF232D">
        <w:t xml:space="preserve"> (also proxy for Jason Stewart)</w:t>
      </w:r>
      <w:r w:rsidRPr="00EF232D">
        <w:t xml:space="preserve">, </w:t>
      </w:r>
      <w:r w:rsidR="00EF232D" w:rsidRPr="00EF232D">
        <w:t xml:space="preserve">Shelley Gipson, </w:t>
      </w:r>
      <w:r w:rsidRPr="00EF232D">
        <w:t xml:space="preserve">Alex Brown, Deanna </w:t>
      </w:r>
      <w:proofErr w:type="spellStart"/>
      <w:r w:rsidRPr="00EF232D">
        <w:t>Barymon</w:t>
      </w:r>
      <w:proofErr w:type="spellEnd"/>
      <w:r w:rsidRPr="00EF232D">
        <w:t xml:space="preserve">, </w:t>
      </w:r>
      <w:r w:rsidR="002B1EC1" w:rsidRPr="00EF232D">
        <w:t xml:space="preserve">David Gilmore, </w:t>
      </w:r>
      <w:r w:rsidRPr="00EF232D">
        <w:t xml:space="preserve">Jesse Blankenship, </w:t>
      </w:r>
      <w:r w:rsidR="002B1EC1" w:rsidRPr="00EF232D">
        <w:t>Summer DeProw</w:t>
      </w:r>
      <w:r w:rsidRPr="00EF232D">
        <w:t xml:space="preserve">, </w:t>
      </w:r>
      <w:r w:rsidR="00EF232D" w:rsidRPr="00EF232D">
        <w:t>Linda Creibaum</w:t>
      </w:r>
    </w:p>
    <w:p w:rsidR="009F1CBF" w:rsidRDefault="009F1CBF">
      <w:r w:rsidRPr="00EF232D">
        <w:rPr>
          <w:b/>
        </w:rPr>
        <w:t>Absent:</w:t>
      </w:r>
      <w:r w:rsidR="00EF232D" w:rsidRPr="00EF232D">
        <w:t xml:space="preserve"> Emilee Taylor, Rebecca Oliver</w:t>
      </w:r>
      <w:r w:rsidR="00530506">
        <w:t>, Gina Hogue</w:t>
      </w:r>
      <w:bookmarkStart w:id="0" w:name="_GoBack"/>
      <w:bookmarkEnd w:id="0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448"/>
        <w:gridCol w:w="6930"/>
      </w:tblGrid>
      <w:tr w:rsidR="0025529F" w:rsidTr="00AC1026">
        <w:tc>
          <w:tcPr>
            <w:tcW w:w="2448" w:type="dxa"/>
          </w:tcPr>
          <w:p w:rsidR="0025529F" w:rsidRPr="00253375" w:rsidRDefault="0025529F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25529F" w:rsidRPr="00253375" w:rsidRDefault="0025529F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AG24 (2015) </w:t>
            </w:r>
          </w:p>
        </w:tc>
        <w:tc>
          <w:tcPr>
            <w:tcW w:w="6930" w:type="dxa"/>
          </w:tcPr>
          <w:p w:rsidR="0025529F" w:rsidRDefault="009933A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Tabled </w:t>
            </w:r>
          </w:p>
          <w:p w:rsidR="009933A6" w:rsidRPr="009933A6" w:rsidRDefault="009933A6" w:rsidP="009933A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</w:t>
            </w:r>
            <w:r w:rsidRPr="009933A6">
              <w:rPr>
                <w:rFonts w:asciiTheme="majorHAnsi" w:hAnsiTheme="majorHAnsi" w:cstheme="majorHAnsi"/>
                <w:color w:val="000000"/>
              </w:rPr>
              <w:t>aiting on resubmission of AG25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AG25 (2015) </w:t>
            </w:r>
          </w:p>
        </w:tc>
        <w:tc>
          <w:tcPr>
            <w:tcW w:w="6930" w:type="dxa"/>
          </w:tcPr>
          <w:p w:rsidR="0025529F" w:rsidRDefault="009933A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9933A6" w:rsidRDefault="009933A6" w:rsidP="009933A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Missing assessment section</w:t>
            </w:r>
          </w:p>
          <w:p w:rsidR="009933A6" w:rsidRPr="009933A6" w:rsidRDefault="009933A6" w:rsidP="009933A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Should consult Assessment Office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BU13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BU15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BU18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BU20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BU21 (2015) </w:t>
            </w:r>
          </w:p>
        </w:tc>
        <w:tc>
          <w:tcPr>
            <w:tcW w:w="6930" w:type="dxa"/>
          </w:tcPr>
          <w:p w:rsidR="0025529F" w:rsidRPr="003264A6" w:rsidRDefault="009933A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BU26 (2015) </w:t>
            </w:r>
          </w:p>
        </w:tc>
        <w:tc>
          <w:tcPr>
            <w:tcW w:w="6930" w:type="dxa"/>
          </w:tcPr>
          <w:p w:rsidR="0025529F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TABLED </w:t>
            </w:r>
          </w:p>
          <w:p w:rsidR="00E37B93" w:rsidRPr="00E37B93" w:rsidRDefault="00E37B93" w:rsidP="00E37B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LON1 does not match associated proposal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BU27 (2015) 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BU27 (2015) 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Rev 2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fix to course title, assessment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FA07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FA07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Rev</w:t>
            </w:r>
          </w:p>
        </w:tc>
        <w:tc>
          <w:tcPr>
            <w:tcW w:w="6930" w:type="dxa"/>
          </w:tcPr>
          <w:p w:rsidR="00AC1026" w:rsidRDefault="00E37B93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E37B93" w:rsidRPr="00E37B93" w:rsidRDefault="00E37B93" w:rsidP="00E37B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Fix to week 14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FA08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FA08 (2015) Rev</w:t>
            </w:r>
          </w:p>
        </w:tc>
        <w:tc>
          <w:tcPr>
            <w:tcW w:w="6930" w:type="dxa"/>
          </w:tcPr>
          <w:p w:rsidR="00AC1026" w:rsidRPr="003264A6" w:rsidRDefault="00E37B93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FA09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FA09 (2015) Rev</w:t>
            </w:r>
          </w:p>
        </w:tc>
        <w:tc>
          <w:tcPr>
            <w:tcW w:w="6930" w:type="dxa"/>
          </w:tcPr>
          <w:p w:rsidR="00AC1026" w:rsidRDefault="00E37B93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APPROVED </w:t>
            </w:r>
          </w:p>
          <w:p w:rsidR="00E37B93" w:rsidRPr="00E37B93" w:rsidRDefault="00E37B93" w:rsidP="00E37B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#8 – lecture only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FA10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FA10 (2015) Rev</w:t>
            </w:r>
          </w:p>
        </w:tc>
        <w:tc>
          <w:tcPr>
            <w:tcW w:w="6930" w:type="dxa"/>
          </w:tcPr>
          <w:p w:rsidR="00AC1026" w:rsidRDefault="00E37B93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E37B93" w:rsidRDefault="00E37B93" w:rsidP="00E37B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#13 – yes</w:t>
            </w:r>
          </w:p>
          <w:p w:rsidR="00E37B93" w:rsidRPr="00E37B93" w:rsidRDefault="00E37B93" w:rsidP="00E37B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In bulletin pages, 4402 should be 4002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FA11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FA11 (2015) Rev</w:t>
            </w:r>
          </w:p>
        </w:tc>
        <w:tc>
          <w:tcPr>
            <w:tcW w:w="6930" w:type="dxa"/>
          </w:tcPr>
          <w:p w:rsidR="00E37B93" w:rsidRDefault="00E37B93" w:rsidP="00E37B9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E37B93" w:rsidRDefault="00E37B93" w:rsidP="00E37B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#13 – yes</w:t>
            </w:r>
          </w:p>
          <w:p w:rsidR="00AC1026" w:rsidRPr="00E37B93" w:rsidRDefault="00E37B93" w:rsidP="00E37B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 w:rsidRPr="00E37B93">
              <w:rPr>
                <w:rFonts w:asciiTheme="majorHAnsi" w:hAnsiTheme="majorHAnsi" w:cstheme="majorHAnsi"/>
                <w:color w:val="000000"/>
              </w:rPr>
              <w:t>In bulletin pages, 4402 should be 4002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FA12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FA12 (2015) Rev</w:t>
            </w:r>
          </w:p>
        </w:tc>
        <w:tc>
          <w:tcPr>
            <w:tcW w:w="6930" w:type="dxa"/>
          </w:tcPr>
          <w:p w:rsidR="00AC1026" w:rsidRDefault="00E37B93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E37B93" w:rsidRDefault="00E37B93" w:rsidP="00E37B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Assessment section needs work</w:t>
            </w:r>
          </w:p>
          <w:p w:rsidR="00E37B93" w:rsidRPr="00E37B93" w:rsidRDefault="00E37B93" w:rsidP="00E37B93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Outcome 1, assessment measure, assuming benchmark </w:t>
            </w:r>
            <w:r>
              <w:rPr>
                <w:rFonts w:asciiTheme="majorHAnsi" w:hAnsiTheme="majorHAnsi" w:cstheme="majorHAnsi"/>
                <w:color w:val="000000"/>
              </w:rPr>
              <w:lastRenderedPageBreak/>
              <w:t xml:space="preserve">is C? 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lastRenderedPageBreak/>
              <w:t>FA13 (2015)</w:t>
            </w:r>
          </w:p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E37B93" w:rsidRPr="003264A6" w:rsidRDefault="00E37B93" w:rsidP="00AC1026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FA13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3264A6">
              <w:rPr>
                <w:rFonts w:asciiTheme="majorHAnsi" w:hAnsiTheme="majorHAnsi" w:cstheme="majorHAnsi"/>
                <w:color w:val="000000"/>
              </w:rPr>
              <w:t>Rev</w:t>
            </w:r>
          </w:p>
        </w:tc>
        <w:tc>
          <w:tcPr>
            <w:tcW w:w="6930" w:type="dxa"/>
          </w:tcPr>
          <w:p w:rsidR="00E37B93" w:rsidRDefault="00E37B93" w:rsidP="00456237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E37B93" w:rsidRDefault="00E37B93" w:rsidP="0045623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Assessment section needs work</w:t>
            </w:r>
          </w:p>
          <w:p w:rsidR="00E37B93" w:rsidRPr="00E37B93" w:rsidRDefault="00E37B93" w:rsidP="00456237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Outcome 1, assessment measure, assuming benchmark is C? 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FA36 (2015)</w:t>
            </w:r>
          </w:p>
          <w:p w:rsidR="00E37B93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FA36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Rev</w:t>
            </w:r>
          </w:p>
          <w:p w:rsidR="00E37B93" w:rsidRPr="003264A6" w:rsidRDefault="00E37B93" w:rsidP="00AC102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FA36</w:t>
            </w:r>
            <w:r w:rsidRPr="003264A6">
              <w:rPr>
                <w:rFonts w:asciiTheme="majorHAnsi" w:hAnsiTheme="majorHAnsi" w:cstheme="majorHAnsi"/>
                <w:color w:val="000000"/>
              </w:rPr>
              <w:t xml:space="preserve">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Rev 2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FA37 (2015)</w:t>
            </w:r>
          </w:p>
          <w:p w:rsidR="00E37B93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FA37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Rev</w:t>
            </w:r>
          </w:p>
          <w:p w:rsidR="00E37B93" w:rsidRPr="003264A6" w:rsidRDefault="00E37B93" w:rsidP="00AC1026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FA37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Rev2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FA38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FA39 (2015) </w:t>
            </w:r>
          </w:p>
        </w:tc>
        <w:tc>
          <w:tcPr>
            <w:tcW w:w="6930" w:type="dxa"/>
          </w:tcPr>
          <w:p w:rsidR="000607C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TABLED </w:t>
            </w:r>
          </w:p>
          <w:p w:rsidR="00E37B93" w:rsidRPr="000607C6" w:rsidRDefault="000607C6" w:rsidP="000607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 w:rsidRPr="000607C6">
              <w:rPr>
                <w:rFonts w:asciiTheme="majorHAnsi" w:hAnsiTheme="majorHAnsi" w:cstheme="majorHAnsi"/>
                <w:color w:val="000000"/>
              </w:rPr>
              <w:t>Pending resubmission of FA12 &amp; 13</w:t>
            </w:r>
          </w:p>
        </w:tc>
      </w:tr>
      <w:tr w:rsidR="000607C6" w:rsidRPr="003264A6" w:rsidTr="00AC1026">
        <w:tc>
          <w:tcPr>
            <w:tcW w:w="2448" w:type="dxa"/>
            <w:vAlign w:val="center"/>
          </w:tcPr>
          <w:p w:rsidR="000607C6" w:rsidRPr="003264A6" w:rsidRDefault="000607C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FA40 (2015)</w:t>
            </w:r>
          </w:p>
        </w:tc>
        <w:tc>
          <w:tcPr>
            <w:tcW w:w="6930" w:type="dxa"/>
          </w:tcPr>
          <w:p w:rsidR="000607C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0607C6" w:rsidRPr="003264A6" w:rsidTr="00AC1026">
        <w:tc>
          <w:tcPr>
            <w:tcW w:w="2448" w:type="dxa"/>
            <w:vAlign w:val="center"/>
          </w:tcPr>
          <w:p w:rsidR="000607C6" w:rsidRPr="003264A6" w:rsidRDefault="000607C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FA41 (2015)</w:t>
            </w:r>
          </w:p>
        </w:tc>
        <w:tc>
          <w:tcPr>
            <w:tcW w:w="6930" w:type="dxa"/>
          </w:tcPr>
          <w:p w:rsidR="000607C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0607C6" w:rsidRDefault="000607C6" w:rsidP="000607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Why is no credit being given?</w:t>
            </w:r>
          </w:p>
          <w:p w:rsidR="000607C6" w:rsidRDefault="000607C6" w:rsidP="000607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Edits needed to:</w:t>
            </w:r>
          </w:p>
          <w:p w:rsidR="000607C6" w:rsidRDefault="000607C6" w:rsidP="000607C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Bulletin pages</w:t>
            </w:r>
          </w:p>
          <w:p w:rsidR="000607C6" w:rsidRPr="000607C6" w:rsidRDefault="000607C6" w:rsidP="000607C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Course level section of outcomes</w:t>
            </w:r>
          </w:p>
        </w:tc>
      </w:tr>
      <w:tr w:rsidR="000607C6" w:rsidRPr="003264A6" w:rsidTr="00AC1026">
        <w:tc>
          <w:tcPr>
            <w:tcW w:w="2448" w:type="dxa"/>
            <w:vAlign w:val="center"/>
          </w:tcPr>
          <w:p w:rsidR="000607C6" w:rsidRPr="003264A6" w:rsidRDefault="000607C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FA42 (2015)</w:t>
            </w:r>
          </w:p>
        </w:tc>
        <w:tc>
          <w:tcPr>
            <w:tcW w:w="6930" w:type="dxa"/>
          </w:tcPr>
          <w:p w:rsidR="000607C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HSS05 (2015) Rev</w:t>
            </w:r>
          </w:p>
        </w:tc>
        <w:tc>
          <w:tcPr>
            <w:tcW w:w="6930" w:type="dxa"/>
          </w:tcPr>
          <w:p w:rsidR="00E37B93" w:rsidRPr="003264A6" w:rsidRDefault="00E37B93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E37B93" w:rsidRPr="003264A6" w:rsidTr="00AC1026">
        <w:tc>
          <w:tcPr>
            <w:tcW w:w="2448" w:type="dxa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HSS06 (2015) Rev</w:t>
            </w:r>
          </w:p>
          <w:p w:rsidR="00E37B93" w:rsidRPr="003264A6" w:rsidRDefault="00E37B93" w:rsidP="0025529F">
            <w:pPr>
              <w:rPr>
                <w:rFonts w:asciiTheme="majorHAnsi" w:hAnsiTheme="majorHAnsi" w:cstheme="majorHAnsi"/>
              </w:rPr>
            </w:pPr>
          </w:p>
          <w:p w:rsidR="00E37B93" w:rsidRPr="003264A6" w:rsidRDefault="00E37B93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HSS06 (2015) Rev by Summer DeProw</w:t>
            </w:r>
          </w:p>
        </w:tc>
        <w:tc>
          <w:tcPr>
            <w:tcW w:w="6930" w:type="dxa"/>
          </w:tcPr>
          <w:p w:rsidR="00E37B93" w:rsidRPr="003264A6" w:rsidRDefault="00E37B93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HSS09 (2015)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HSS10 (2015)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HSS11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HSS12 (2015)</w:t>
            </w:r>
          </w:p>
        </w:tc>
        <w:tc>
          <w:tcPr>
            <w:tcW w:w="6930" w:type="dxa"/>
          </w:tcPr>
          <w:p w:rsidR="00E37B93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607C6" w:rsidRPr="000607C6" w:rsidRDefault="000607C6" w:rsidP="000607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#2 – Criminology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HSS13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HSS14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HSS15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HSS16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HSS17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HSS18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HSS19 (2015)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HSS20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HSS21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HSS22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HSS23 (2015) </w:t>
            </w:r>
          </w:p>
        </w:tc>
        <w:tc>
          <w:tcPr>
            <w:tcW w:w="6930" w:type="dxa"/>
          </w:tcPr>
          <w:p w:rsidR="00E37B93" w:rsidRPr="003264A6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MCOM16 (2015)</w:t>
            </w:r>
          </w:p>
        </w:tc>
        <w:tc>
          <w:tcPr>
            <w:tcW w:w="6930" w:type="dxa"/>
          </w:tcPr>
          <w:p w:rsidR="00E37B93" w:rsidRDefault="000607C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TABLED </w:t>
            </w:r>
          </w:p>
          <w:p w:rsidR="000607C6" w:rsidRPr="000607C6" w:rsidRDefault="000607C6" w:rsidP="000607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Need the undergraduate version of the bulletin pages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 47-64 (2015)</w:t>
            </w:r>
          </w:p>
        </w:tc>
        <w:tc>
          <w:tcPr>
            <w:tcW w:w="6930" w:type="dxa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Need Program Reconfiguration Form – NHP 47-64 (2015) passed pending approval of the Program Reconfiguration Proposal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NHP69 (2015)</w:t>
            </w:r>
          </w:p>
        </w:tc>
        <w:tc>
          <w:tcPr>
            <w:tcW w:w="6930" w:type="dxa"/>
          </w:tcPr>
          <w:p w:rsidR="00E37B93" w:rsidRPr="00A06596" w:rsidRDefault="00A06596" w:rsidP="00A0659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E37B93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NHP70 (2015) </w:t>
            </w:r>
          </w:p>
        </w:tc>
        <w:tc>
          <w:tcPr>
            <w:tcW w:w="6930" w:type="dxa"/>
          </w:tcPr>
          <w:p w:rsidR="00E37B93" w:rsidRPr="00A06596" w:rsidRDefault="00A06596" w:rsidP="00A0659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E37B93" w:rsidRPr="003264A6" w:rsidTr="00AC1026">
        <w:tc>
          <w:tcPr>
            <w:tcW w:w="2448" w:type="dxa"/>
            <w:vAlign w:val="center"/>
          </w:tcPr>
          <w:p w:rsidR="00E37B93" w:rsidRPr="003264A6" w:rsidRDefault="00A0659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NHP72</w:t>
            </w:r>
            <w:r w:rsidR="00E37B93" w:rsidRPr="003264A6">
              <w:rPr>
                <w:rFonts w:asciiTheme="majorHAnsi" w:hAnsiTheme="majorHAnsi" w:cstheme="majorHAnsi"/>
                <w:color w:val="000000"/>
              </w:rPr>
              <w:t xml:space="preserve"> (2015) </w:t>
            </w:r>
          </w:p>
        </w:tc>
        <w:tc>
          <w:tcPr>
            <w:tcW w:w="6930" w:type="dxa"/>
          </w:tcPr>
          <w:p w:rsidR="00E37B93" w:rsidRDefault="00A06596" w:rsidP="00A0659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A06596" w:rsidRPr="00A06596" w:rsidRDefault="00A06596" w:rsidP="00A0659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Should be cross-referenced with course proposals for frequency</w:t>
            </w:r>
          </w:p>
        </w:tc>
      </w:tr>
    </w:tbl>
    <w:p w:rsidR="009F1CBF" w:rsidRDefault="009F1CBF" w:rsidP="000A297A"/>
    <w:p w:rsidR="000A297A" w:rsidRDefault="00A06596">
      <w:r>
        <w:t>A</w:t>
      </w:r>
      <w:r w:rsidR="000A297A">
        <w:t xml:space="preserve">dditional </w:t>
      </w:r>
      <w:r w:rsidR="0011421D">
        <w:t>meeting</w:t>
      </w:r>
      <w:r w:rsidR="000A297A">
        <w:t xml:space="preserve"> needed for finishing up proposals for year. Set for:</w:t>
      </w:r>
    </w:p>
    <w:p w:rsidR="0011421D" w:rsidRDefault="00A06596" w:rsidP="000A297A">
      <w:pPr>
        <w:pStyle w:val="ListParagraph"/>
        <w:numPr>
          <w:ilvl w:val="0"/>
          <w:numId w:val="7"/>
        </w:numPr>
      </w:pPr>
      <w:r>
        <w:t xml:space="preserve"> </w:t>
      </w:r>
      <w:r w:rsidR="000A297A">
        <w:t>“Dead Day”</w:t>
      </w:r>
      <w:r w:rsidR="008335F9">
        <w:t xml:space="preserve"> - Tuesday, May 3</w:t>
      </w:r>
      <w:r w:rsidR="008335F9" w:rsidRPr="008335F9">
        <w:rPr>
          <w:vertAlign w:val="superscript"/>
        </w:rPr>
        <w:t>rd</w:t>
      </w:r>
      <w:r w:rsidR="008335F9">
        <w:t xml:space="preserve"> - </w:t>
      </w:r>
      <w:r w:rsidR="000A297A">
        <w:t>(include lunch)</w:t>
      </w:r>
      <w:r w:rsidR="00061B1C">
        <w:t xml:space="preserve"> – 11-3pm – Graduate School Conference Room</w:t>
      </w:r>
    </w:p>
    <w:p w:rsidR="0011421D" w:rsidRDefault="0011421D">
      <w:r>
        <w:t xml:space="preserve">Meeting adjourned at 4:50 p.m. </w:t>
      </w:r>
    </w:p>
    <w:sectPr w:rsidR="0011421D" w:rsidSect="001142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9F" w:rsidRDefault="0025529F" w:rsidP="008177B5">
      <w:pPr>
        <w:spacing w:after="0" w:line="240" w:lineRule="auto"/>
      </w:pPr>
      <w:r>
        <w:separator/>
      </w:r>
    </w:p>
  </w:endnote>
  <w:endnote w:type="continuationSeparator" w:id="0">
    <w:p w:rsidR="0025529F" w:rsidRDefault="0025529F" w:rsidP="008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9F" w:rsidRPr="0011421D" w:rsidRDefault="000A297A" w:rsidP="0011421D">
    <w:pPr>
      <w:pStyle w:val="Footer"/>
      <w:rPr>
        <w:rFonts w:ascii="Times New Roman" w:hAnsi="Times New Roman" w:cs="Times New Roman"/>
        <w:sz w:val="18"/>
      </w:rPr>
    </w:pPr>
    <w:r>
      <w:rPr>
        <w:sz w:val="16"/>
      </w:rPr>
      <w:t>LA – 4/1</w:t>
    </w:r>
    <w:r w:rsidR="002B1EC1">
      <w:rPr>
        <w:sz w:val="16"/>
      </w:rPr>
      <w:t>3</w:t>
    </w:r>
    <w:r w:rsidR="0025529F" w:rsidRPr="008177B5">
      <w:rPr>
        <w:sz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9F" w:rsidRDefault="0025529F" w:rsidP="008177B5">
      <w:pPr>
        <w:spacing w:after="0" w:line="240" w:lineRule="auto"/>
      </w:pPr>
      <w:r>
        <w:separator/>
      </w:r>
    </w:p>
  </w:footnote>
  <w:footnote w:type="continuationSeparator" w:id="0">
    <w:p w:rsidR="0025529F" w:rsidRDefault="0025529F" w:rsidP="008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9F" w:rsidRPr="0011421D" w:rsidRDefault="0025529F" w:rsidP="0011421D">
    <w:pPr>
      <w:pStyle w:val="Foot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UCC Meeting</w:t>
    </w:r>
  </w:p>
  <w:p w:rsidR="0025529F" w:rsidRPr="0011421D" w:rsidRDefault="00A06596" w:rsidP="0011421D">
    <w:pPr>
      <w:pStyle w:val="Head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April 22</w:t>
    </w:r>
    <w:r w:rsidR="0025529F" w:rsidRPr="0011421D">
      <w:rPr>
        <w:rFonts w:ascii="Times New Roman" w:hAnsi="Times New Roman" w:cs="Times New Roman"/>
        <w:sz w:val="18"/>
      </w:rPr>
      <w:t>, 2016</w:t>
    </w:r>
  </w:p>
  <w:p w:rsidR="0025529F" w:rsidRDefault="0025529F">
    <w:pPr>
      <w:pStyle w:val="Header"/>
    </w:pPr>
    <w:proofErr w:type="spellStart"/>
    <w:r w:rsidRPr="0011421D">
      <w:rPr>
        <w:rFonts w:ascii="Times New Roman" w:hAnsi="Times New Roman" w:cs="Times New Roman"/>
        <w:sz w:val="18"/>
      </w:rPr>
      <w:t>Pg</w:t>
    </w:r>
    <w:proofErr w:type="spellEnd"/>
    <w:r w:rsidRPr="0011421D">
      <w:rPr>
        <w:rFonts w:ascii="Times New Roman" w:hAnsi="Times New Roman" w:cs="Times New Roman"/>
        <w:sz w:val="18"/>
      </w:rPr>
      <w:t xml:space="preserve"> </w:t>
    </w:r>
    <w:r w:rsidRPr="0011421D">
      <w:rPr>
        <w:rFonts w:ascii="Times New Roman" w:hAnsi="Times New Roman" w:cs="Times New Roman"/>
        <w:sz w:val="18"/>
      </w:rPr>
      <w:fldChar w:fldCharType="begin"/>
    </w:r>
    <w:r w:rsidRPr="0011421D">
      <w:rPr>
        <w:rFonts w:ascii="Times New Roman" w:hAnsi="Times New Roman" w:cs="Times New Roman"/>
        <w:sz w:val="18"/>
      </w:rPr>
      <w:instrText xml:space="preserve"> PAGE   \* MERGEFORMAT </w:instrText>
    </w:r>
    <w:r w:rsidRPr="0011421D">
      <w:rPr>
        <w:rFonts w:ascii="Times New Roman" w:hAnsi="Times New Roman" w:cs="Times New Roman"/>
        <w:sz w:val="18"/>
      </w:rPr>
      <w:fldChar w:fldCharType="separate"/>
    </w:r>
    <w:r w:rsidR="00530506">
      <w:rPr>
        <w:rFonts w:ascii="Times New Roman" w:hAnsi="Times New Roman" w:cs="Times New Roman"/>
        <w:noProof/>
        <w:sz w:val="18"/>
      </w:rPr>
      <w:t>3</w:t>
    </w:r>
    <w:r w:rsidRPr="0011421D">
      <w:rPr>
        <w:rFonts w:ascii="Times New Roman" w:hAnsi="Times New Roman" w:cs="Times New Roman"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8A"/>
    <w:multiLevelType w:val="hybridMultilevel"/>
    <w:tmpl w:val="4448D4A2"/>
    <w:lvl w:ilvl="0" w:tplc="A4F4A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8C5"/>
    <w:multiLevelType w:val="hybridMultilevel"/>
    <w:tmpl w:val="7C96EEFA"/>
    <w:lvl w:ilvl="0" w:tplc="6A907A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2D8"/>
    <w:multiLevelType w:val="hybridMultilevel"/>
    <w:tmpl w:val="C6CE5A36"/>
    <w:lvl w:ilvl="0" w:tplc="91FE4F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A5A9C"/>
    <w:multiLevelType w:val="hybridMultilevel"/>
    <w:tmpl w:val="9E9A0F44"/>
    <w:lvl w:ilvl="0" w:tplc="4A44938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7EA9"/>
    <w:multiLevelType w:val="hybridMultilevel"/>
    <w:tmpl w:val="CBB45792"/>
    <w:lvl w:ilvl="0" w:tplc="2C340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22B64"/>
    <w:multiLevelType w:val="hybridMultilevel"/>
    <w:tmpl w:val="91B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2984"/>
    <w:multiLevelType w:val="hybridMultilevel"/>
    <w:tmpl w:val="2626D610"/>
    <w:lvl w:ilvl="0" w:tplc="978EA82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5A2855"/>
    <w:multiLevelType w:val="hybridMultilevel"/>
    <w:tmpl w:val="97842B4A"/>
    <w:lvl w:ilvl="0" w:tplc="B6AA2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23741"/>
    <w:rsid w:val="00035295"/>
    <w:rsid w:val="000607C6"/>
    <w:rsid w:val="00061B1C"/>
    <w:rsid w:val="0009302C"/>
    <w:rsid w:val="00093582"/>
    <w:rsid w:val="000A0DF9"/>
    <w:rsid w:val="000A297A"/>
    <w:rsid w:val="000C26CF"/>
    <w:rsid w:val="001136C5"/>
    <w:rsid w:val="0011421D"/>
    <w:rsid w:val="00185F1C"/>
    <w:rsid w:val="002434C8"/>
    <w:rsid w:val="0025529F"/>
    <w:rsid w:val="002A5C1F"/>
    <w:rsid w:val="002B1EC1"/>
    <w:rsid w:val="002E04A2"/>
    <w:rsid w:val="002E0DF1"/>
    <w:rsid w:val="003C5C66"/>
    <w:rsid w:val="003D58F7"/>
    <w:rsid w:val="00423A49"/>
    <w:rsid w:val="004A545F"/>
    <w:rsid w:val="004E19AC"/>
    <w:rsid w:val="00515A87"/>
    <w:rsid w:val="00530506"/>
    <w:rsid w:val="00571A6B"/>
    <w:rsid w:val="00662597"/>
    <w:rsid w:val="00666437"/>
    <w:rsid w:val="00671F8B"/>
    <w:rsid w:val="00674002"/>
    <w:rsid w:val="00720896"/>
    <w:rsid w:val="007350C5"/>
    <w:rsid w:val="00773BBA"/>
    <w:rsid w:val="007A5608"/>
    <w:rsid w:val="007D7A75"/>
    <w:rsid w:val="008177B5"/>
    <w:rsid w:val="008335F9"/>
    <w:rsid w:val="00957AC4"/>
    <w:rsid w:val="009933A6"/>
    <w:rsid w:val="009F1CBF"/>
    <w:rsid w:val="00A06596"/>
    <w:rsid w:val="00A44FA3"/>
    <w:rsid w:val="00A53B92"/>
    <w:rsid w:val="00AC1026"/>
    <w:rsid w:val="00B65D47"/>
    <w:rsid w:val="00C160F1"/>
    <w:rsid w:val="00CA249C"/>
    <w:rsid w:val="00CB1584"/>
    <w:rsid w:val="00CC28D7"/>
    <w:rsid w:val="00D12055"/>
    <w:rsid w:val="00DA5643"/>
    <w:rsid w:val="00DC4017"/>
    <w:rsid w:val="00E306A3"/>
    <w:rsid w:val="00E37B93"/>
    <w:rsid w:val="00ED6584"/>
    <w:rsid w:val="00EF232D"/>
    <w:rsid w:val="00F9651E"/>
    <w:rsid w:val="00FB38FA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6</cp:revision>
  <cp:lastPrinted>2016-03-15T15:01:00Z</cp:lastPrinted>
  <dcterms:created xsi:type="dcterms:W3CDTF">2016-05-12T19:40:00Z</dcterms:created>
  <dcterms:modified xsi:type="dcterms:W3CDTF">2016-05-17T21:09:00Z</dcterms:modified>
</cp:coreProperties>
</file>