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26020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591D0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91D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591D0D" w:rsidP="00591D0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141A5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</w:sdtPr>
                    <w:sdtEndPr/>
                    <w:sdtContent>
                      <w:r w:rsidR="00141A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D25D5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25D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Kris </w:t>
                      </w:r>
                      <w:proofErr w:type="spellStart"/>
                      <w:r w:rsidR="00D25D5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Biondolillo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D25D5E" w:rsidP="00D25D5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141A5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141A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NA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B75BAC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Wayne W. Wilkinson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10-0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B75BAC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10/9/2017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3740518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3740518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141A5A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41A5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Mary Jane Bradley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10-20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41A5A" w:rsidP="00141A5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10/20/2017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21223621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1223621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385C77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66265657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265657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385C77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4543960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543960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26020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Wayne Wilkinson, </w:t>
          </w:r>
          <w:hyperlink r:id="rId8" w:history="1">
            <w:r w:rsidRPr="00612078">
              <w:rPr>
                <w:rStyle w:val="Hyperlink"/>
                <w:rFonts w:asciiTheme="majorHAnsi" w:hAnsiTheme="majorHAnsi" w:cs="Arial"/>
                <w:sz w:val="20"/>
                <w:szCs w:val="20"/>
              </w:rPr>
              <w:t>wwilkinson@astate.edu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870-680-8129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A260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Removing the requirement of completing a minor or area of concentration for students in the B.S. Psychology Program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</w:t>
      </w:r>
      <w:proofErr w:type="gramEnd"/>
      <w:r w:rsidR="000A7C2E" w:rsidRPr="005813B9">
        <w:rPr>
          <w:rFonts w:asciiTheme="majorHAnsi" w:hAnsiTheme="majorHAnsi" w:cs="Arial"/>
          <w:b/>
          <w:sz w:val="20"/>
          <w:szCs w:val="20"/>
        </w:rPr>
        <w:t xml:space="preserve">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26020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proofErr w:type="gramStart"/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proofErr w:type="gramEnd"/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ED020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Due to the complexity of the psychology major, no longer requiring a minor will likely improve retention and particularly allow transfer students (or students who change their major to psychology in their third year or later) to complete the major more effectively.</w:t>
          </w:r>
        </w:p>
      </w:sdtContent>
    </w:sdt>
    <w:p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bookmarkStart w:id="0" w:name="_GoBack"/>
      <w:bookmarkEnd w:id="0"/>
      <w:r>
        <w:rPr>
          <w:rFonts w:asciiTheme="majorHAnsi" w:hAnsiTheme="majorHAnsi" w:cs="Arial"/>
          <w:b/>
          <w:sz w:val="28"/>
          <w:szCs w:val="20"/>
        </w:rPr>
        <w:br w:type="page"/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A26020" w:rsidRDefault="00A2602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Page 185:</w:t>
          </w:r>
        </w:p>
        <w:p w:rsidR="00A26020" w:rsidRDefault="00A26020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after="0" w:line="317" w:lineRule="exact"/>
            <w:ind w:left="588" w:right="588"/>
            <w:jc w:val="center"/>
            <w:rPr>
              <w:rFonts w:ascii="Arial Narrow" w:hAnsi="Arial Narrow" w:cs="Arial Narrow"/>
              <w:color w:val="000000"/>
              <w:sz w:val="32"/>
              <w:szCs w:val="32"/>
            </w:rPr>
          </w:pPr>
          <w:r w:rsidRPr="003830C1">
            <w:rPr>
              <w:rFonts w:ascii="Arial Narrow" w:hAnsi="Arial Narrow" w:cs="Arial Narrow"/>
              <w:b/>
              <w:bCs/>
              <w:color w:val="231F20"/>
              <w:w w:val="90"/>
              <w:sz w:val="32"/>
              <w:szCs w:val="32"/>
            </w:rPr>
            <w:t>Major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46"/>
              <w:w w:val="90"/>
              <w:sz w:val="32"/>
              <w:szCs w:val="32"/>
            </w:rPr>
            <w:t xml:space="preserve"> </w:t>
          </w:r>
          <w:r w:rsidRPr="003830C1">
            <w:rPr>
              <w:rFonts w:ascii="Arial Narrow" w:hAnsi="Arial Narrow" w:cs="Arial Narrow"/>
              <w:b/>
              <w:bCs/>
              <w:color w:val="231F20"/>
              <w:w w:val="90"/>
              <w:sz w:val="32"/>
              <w:szCs w:val="32"/>
            </w:rPr>
            <w:t>in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45"/>
              <w:w w:val="90"/>
              <w:sz w:val="32"/>
              <w:szCs w:val="32"/>
            </w:rPr>
            <w:t xml:space="preserve"> </w:t>
          </w:r>
          <w:r w:rsidRPr="003830C1">
            <w:rPr>
              <w:rFonts w:ascii="Arial Narrow" w:hAnsi="Arial Narrow" w:cs="Arial Narrow"/>
              <w:b/>
              <w:bCs/>
              <w:color w:val="231F20"/>
              <w:spacing w:val="-2"/>
              <w:w w:val="90"/>
              <w:sz w:val="32"/>
              <w:szCs w:val="32"/>
            </w:rPr>
            <w:t>Psychology</w:t>
          </w:r>
        </w:p>
        <w:p w:rsidR="009B2F2B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588" w:right="588"/>
            <w:jc w:val="center"/>
            <w:rPr>
              <w:rFonts w:ascii="Arial" w:hAnsi="Arial" w:cs="Arial"/>
              <w:b/>
              <w:bCs/>
              <w:color w:val="231F20"/>
              <w:sz w:val="16"/>
              <w:szCs w:val="16"/>
            </w:rPr>
          </w:pPr>
          <w:r w:rsidRPr="003830C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Bachelor </w:t>
          </w:r>
          <w:r w:rsidRPr="003830C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3830C1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3830C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Science</w:t>
          </w: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8" w:after="0" w:line="240" w:lineRule="auto"/>
            <w:ind w:left="588" w:right="5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3830C1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3830C1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2" w:history="1">
            <w:r w:rsidRPr="003830C1">
              <w:rPr>
                <w:rFonts w:ascii="Arial" w:hAnsi="Arial" w:cs="Arial"/>
                <w:color w:val="231F20"/>
                <w:sz w:val="16"/>
                <w:szCs w:val="16"/>
              </w:rPr>
              <w:t xml:space="preserve">complete 8-semester degree plan is available at </w:t>
            </w:r>
            <w:r w:rsidRPr="003830C1">
              <w:rPr>
                <w:rFonts w:ascii="Arial" w:hAnsi="Arial" w:cs="Arial"/>
                <w:color w:val="231F20"/>
                <w:spacing w:val="-1"/>
                <w:sz w:val="16"/>
                <w:szCs w:val="16"/>
              </w:rPr>
              <w:t>http://registrar.astate.edu/.</w:t>
            </w:r>
          </w:hyperlink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12" w:after="0" w:line="240" w:lineRule="auto"/>
            <w:ind w:left="588" w:right="588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0"/>
              <w:szCs w:val="20"/>
            </w:rPr>
          </w:pPr>
          <w:r w:rsidRPr="003830C1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inline distT="0" distB="0" distL="0" distR="0" wp14:anchorId="5EADF4DF" wp14:editId="52980A58">
                    <wp:extent cx="4083685" cy="1356360"/>
                    <wp:effectExtent l="0" t="0" r="12065" b="1524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083685" cy="1356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17" w:type="dxa"/>
                                  <w:tbl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insideH w:val="single" w:sz="4" w:space="0" w:color="auto"/>
                                    <w:insideV w:val="single" w:sz="4" w:space="0" w:color="auto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464"/>
                                  <w:gridCol w:w="942"/>
                                </w:tblGrid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University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3830C1" w:rsidRDefault="009B2F2B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</w:rPr>
                                      </w:pP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See University General Requirements for Baccalaureate degrees (p. 41)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>
                                      <w:pPr>
                                        <w:rPr>
                                          <w:rFonts w:ascii="Arial" w:hAnsi="Arial" w:cs="Arial"/>
                                          <w:sz w:val="12"/>
                                        </w:rPr>
                                      </w:pP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First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9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3"/>
                                          <w:sz w:val="16"/>
                                          <w:szCs w:val="16"/>
                                        </w:rPr>
                                        <w:t>Year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Making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Connections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Course: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185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Sem.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 xml:space="preserve"> Hrs.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PSY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 xml:space="preserve">1013, Making Connections: Psychological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>Wellness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jc w:val="center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464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6"/>
                                        <w:ind w:left="70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General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5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Education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6"/>
                                          <w:szCs w:val="16"/>
                                        </w:rPr>
                                        <w:t>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  <w:shd w:val="clear" w:color="auto" w:fill="BCBEC0"/>
                                    </w:tcPr>
                                    <w:p w:rsidR="009B2F2B" w:rsidRPr="00C862A9" w:rsidRDefault="009B2F2B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45"/>
                                        <w:ind w:left="185"/>
                                        <w:rPr>
                                          <w:rFonts w:ascii="Arial" w:hAnsi="Arial" w:cs="Arial"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z w:val="12"/>
                                        </w:rPr>
                                        <w:t>Sem.</w:t>
                                      </w:r>
                                      <w:r w:rsidRPr="00C862A9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iCs/>
                                          <w:color w:val="231F20"/>
                                          <w:spacing w:val="-1"/>
                                          <w:sz w:val="12"/>
                                        </w:rPr>
                                        <w:t xml:space="preserve"> Hrs.</w:t>
                                      </w:r>
                                    </w:p>
                                  </w:tc>
                                </w:tr>
                                <w:tr w:rsidR="009B2F2B" w:rsidTr="003D7242">
                                  <w:trPr>
                                    <w:trHeight w:hRule="exact" w:val="947"/>
                                  </w:trPr>
                                  <w:tc>
                                    <w:tcPr>
                                      <w:tcW w:w="5464" w:type="dxa"/>
                                    </w:tcPr>
                                    <w:p w:rsidR="009B2F2B" w:rsidRPr="003830C1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ind w:left="250"/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Cs/>
                                          <w:color w:val="231F20"/>
                                          <w:sz w:val="12"/>
                                        </w:rPr>
                                        <w:t>See General Education Curriculum for Baccalaureate degrees (p. 84)</w:t>
                                      </w:r>
                                    </w:p>
                                    <w:p w:rsidR="009B2F2B" w:rsidRPr="003830C1" w:rsidRDefault="009B2F2B" w:rsidP="003830C1">
                                      <w:pPr>
                                        <w:kinsoku w:val="0"/>
                                        <w:overflowPunct w:val="0"/>
                                        <w:autoSpaceDE w:val="0"/>
                                        <w:autoSpaceDN w:val="0"/>
                                        <w:adjustRightInd w:val="0"/>
                                        <w:spacing w:after="0" w:line="123" w:lineRule="exact"/>
                                        <w:ind w:left="39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Students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with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this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>major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>must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take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following:</w:t>
                                      </w:r>
                                    </w:p>
                                    <w:p w:rsidR="009B2F2B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after="0"/>
                                        <w:ind w:left="250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3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1023, College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5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Algebra or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course that requires 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3"/>
                                          <w:sz w:val="12"/>
                                          <w:szCs w:val="12"/>
                                        </w:rPr>
                                        <w:t>MATH</w:t>
                                      </w: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 1023 as a prerequisite</w:t>
                                      </w:r>
                                    </w:p>
                                    <w:p w:rsidR="009B2F2B" w:rsidRPr="003830C1" w:rsidRDefault="009B2F2B" w:rsidP="003830C1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after="0"/>
                                        <w:ind w:left="250"/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sz w:val="12"/>
                                          <w:szCs w:val="24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Six hours of Humanities (Required Departmental Gen. Ed. Option)</w:t>
                                      </w:r>
                                    </w:p>
                                  </w:tc>
                                  <w:tc>
                                    <w:tcPr>
                                      <w:tcW w:w="942" w:type="dxa"/>
                                    </w:tcPr>
                                    <w:p w:rsidR="009B2F2B" w:rsidRPr="003830C1" w:rsidRDefault="009B2F2B" w:rsidP="003830C1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</w:rPr>
                                      </w:pPr>
                                      <w:r w:rsidRPr="003830C1">
                                        <w:rPr>
                                          <w:rFonts w:ascii="Arial" w:hAnsi="Arial" w:cs="Arial"/>
                                          <w:b/>
                                          <w:sz w:val="12"/>
                                        </w:rPr>
                                        <w:t>35</w:t>
                                      </w:r>
                                    </w:p>
                                  </w:tc>
                                </w:tr>
                              </w:tbl>
                              <w:p w:rsidR="009B2F2B" w:rsidRDefault="009B2F2B" w:rsidP="009B2F2B">
                                <w:pPr>
                                  <w:pStyle w:val="BodyText"/>
                                  <w:kinsoku w:val="0"/>
                                  <w:overflowPunct w:val="0"/>
                                  <w:rPr>
                                    <w:rFonts w:ascii="Times New Roman" w:hAnsi="Times New Roman" w:cs="Times New Roman"/>
                                    <w:i/>
                                    <w:iCs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5EADF4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321.55pt;height:106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cbrgIAAKoFAAAOAAAAZHJzL2Uyb0RvYy54bWysVG1vmzAQ/j5p/8HydwokhAI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17" w:type="dxa"/>
                            <w:tbl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464"/>
                            <w:gridCol w:w="942"/>
                          </w:tblGrid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University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Requirements: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3830C1" w:rsidRDefault="009B2F2B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25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See University General Requirements for Baccalaureate degrees (p. 41)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>
                                <w:pPr>
                                  <w:rPr>
                                    <w:rFonts w:ascii="Arial" w:hAnsi="Arial" w:cs="Arial"/>
                                    <w:sz w:val="12"/>
                                  </w:rPr>
                                </w:pP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First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>Year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Making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Connections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Course: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185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Sem.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 xml:space="preserve"> Hrs.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25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PSY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pacing w:val="-3"/>
                                    <w:sz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 xml:space="preserve">1013, Making Connections: Psychological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>Wellness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jc w:val="center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276"/>
                            </w:trPr>
                            <w:tc>
                              <w:tcPr>
                                <w:tcW w:w="5464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6"/>
                                  <w:ind w:left="70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General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6"/>
                                    <w:szCs w:val="16"/>
                                  </w:rPr>
                                  <w:t>Education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Requirements: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  <w:shd w:val="clear" w:color="auto" w:fill="BCBEC0"/>
                              </w:tcPr>
                              <w:p w:rsidR="009B2F2B" w:rsidRPr="00C862A9" w:rsidRDefault="009B2F2B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45"/>
                                  <w:ind w:left="185"/>
                                  <w:rPr>
                                    <w:rFonts w:ascii="Arial" w:hAnsi="Arial" w:cs="Arial"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z w:val="12"/>
                                  </w:rPr>
                                  <w:t>Sem.</w:t>
                                </w:r>
                                <w:r w:rsidRPr="00C862A9">
                                  <w:rPr>
                                    <w:rFonts w:ascii="Arial" w:hAnsi="Arial" w:cs="Arial"/>
                                    <w:b/>
                                    <w:bCs/>
                                    <w:iCs/>
                                    <w:color w:val="231F20"/>
                                    <w:spacing w:val="-1"/>
                                    <w:sz w:val="12"/>
                                  </w:rPr>
                                  <w:t xml:space="preserve"> Hrs.</w:t>
                                </w:r>
                              </w:p>
                            </w:tc>
                          </w:tr>
                          <w:tr w:rsidR="009B2F2B" w:rsidTr="003D7242">
                            <w:trPr>
                              <w:trHeight w:hRule="exact" w:val="947"/>
                            </w:trPr>
                            <w:tc>
                              <w:tcPr>
                                <w:tcW w:w="5464" w:type="dxa"/>
                              </w:tcPr>
                              <w:p w:rsidR="009B2F2B" w:rsidRPr="003830C1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ind w:left="250"/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Cs/>
                                    <w:color w:val="231F20"/>
                                    <w:sz w:val="12"/>
                                  </w:rPr>
                                  <w:t>See General Education Curriculum for Baccalaureate degrees (p. 84)</w:t>
                                </w:r>
                              </w:p>
                              <w:p w:rsidR="009B2F2B" w:rsidRPr="003830C1" w:rsidRDefault="009B2F2B" w:rsidP="003830C1">
                                <w:pPr>
                                  <w:kinsoku w:val="0"/>
                                  <w:overflowPunct w:val="0"/>
                                  <w:autoSpaceDE w:val="0"/>
                                  <w:autoSpaceDN w:val="0"/>
                                  <w:adjustRightInd w:val="0"/>
                                  <w:spacing w:after="0" w:line="123" w:lineRule="exact"/>
                                  <w:ind w:left="39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Students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with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this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>major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>must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take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following:</w:t>
                                </w:r>
                              </w:p>
                              <w:p w:rsidR="009B2F2B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spacing w:after="0"/>
                                  <w:ind w:left="250"/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30"/>
                                    <w:sz w:val="12"/>
                                    <w:szCs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1023, College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5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Algebra or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course that requires 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3"/>
                                    <w:sz w:val="12"/>
                                    <w:szCs w:val="12"/>
                                  </w:rPr>
                                  <w:t>MATH</w:t>
                                </w: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 1023 as a prerequisite</w:t>
                                </w:r>
                              </w:p>
                              <w:p w:rsidR="009B2F2B" w:rsidRPr="003830C1" w:rsidRDefault="009B2F2B" w:rsidP="003830C1">
                                <w:pPr>
                                  <w:pStyle w:val="BodyText"/>
                                  <w:kinsoku w:val="0"/>
                                  <w:overflowPunct w:val="0"/>
                                  <w:spacing w:after="0"/>
                                  <w:ind w:left="250"/>
                                  <w:rPr>
                                    <w:rFonts w:ascii="Arial" w:hAnsi="Arial" w:cs="Arial"/>
                                    <w:i/>
                                    <w:iCs/>
                                    <w:sz w:val="12"/>
                                    <w:szCs w:val="24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Six hours of Humanities (Required Departmental Gen. Ed. Option)</w:t>
                                </w:r>
                              </w:p>
                            </w:tc>
                            <w:tc>
                              <w:tcPr>
                                <w:tcW w:w="942" w:type="dxa"/>
                              </w:tcPr>
                              <w:p w:rsidR="009B2F2B" w:rsidRPr="003830C1" w:rsidRDefault="009B2F2B" w:rsidP="003830C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</w:pPr>
                                <w:r w:rsidRPr="003830C1">
                                  <w:rPr>
                                    <w:rFonts w:ascii="Arial" w:hAnsi="Arial" w:cs="Arial"/>
                                    <w:b/>
                                    <w:sz w:val="12"/>
                                  </w:rPr>
                                  <w:t>35</w:t>
                                </w:r>
                              </w:p>
                            </w:tc>
                          </w:tr>
                        </w:tbl>
                        <w:p w:rsidR="009B2F2B" w:rsidRDefault="009B2F2B" w:rsidP="009B2F2B">
                          <w:pPr>
                            <w:pStyle w:val="BodyText"/>
                            <w:kinsoku w:val="0"/>
                            <w:overflowPunct w:val="0"/>
                            <w:rPr>
                              <w:rFonts w:ascii="Times New Roman" w:hAnsi="Times New Roman" w:cs="Times New Roman"/>
                              <w:i/>
                              <w:iCs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  <w:p w:rsidR="009B2F2B" w:rsidRPr="003830C1" w:rsidRDefault="009B2F2B" w:rsidP="009B2F2B">
          <w:pPr>
            <w:kinsoku w:val="0"/>
            <w:overflowPunct w:val="0"/>
            <w:autoSpaceDE w:val="0"/>
            <w:autoSpaceDN w:val="0"/>
            <w:adjustRightInd w:val="0"/>
            <w:spacing w:before="6" w:after="0" w:line="250" w:lineRule="auto"/>
            <w:ind w:left="129" w:right="1351"/>
            <w:rPr>
              <w:rFonts w:ascii="Arial" w:hAnsi="Arial" w:cs="Arial"/>
              <w:color w:val="000000"/>
              <w:sz w:val="12"/>
              <w:szCs w:val="12"/>
            </w:rPr>
          </w:pPr>
        </w:p>
        <w:tbl>
          <w:tblPr>
            <w:tblW w:w="0" w:type="auto"/>
            <w:tblInd w:w="95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65"/>
            <w:gridCol w:w="942"/>
          </w:tblGrid>
          <w:tr w:rsidR="009B2F2B" w:rsidRPr="003830C1" w:rsidTr="003F3921">
            <w:trPr>
              <w:trHeight w:hRule="exact" w:val="608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Major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Requirements: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0" w:after="0" w:line="250" w:lineRule="auto"/>
                  <w:ind w:left="160" w:right="32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course taken to satisfy requirements for a minor and/or a second major cannot also be used to satisfy major credit hour requirements in the psychology </w:t>
                </w:r>
                <w:r w:rsidRPr="003830C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major.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39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2013, Introduction to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34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Required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ONLY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if not taken as part of the General Education Requirements.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0-3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2023, Psychology as a Science and a Profession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B2F2B" w:rsidRPr="003830C1" w:rsidTr="003F3921">
            <w:trPr>
              <w:trHeight w:hRule="exact" w:val="39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50" w:lineRule="auto"/>
                  <w:ind w:left="340" w:right="1294" w:hanging="9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3103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3101, Quantitative Methods for Behavioral Sciences</w:t>
                </w:r>
                <w:r w:rsidRPr="003830C1">
                  <w:rPr>
                    <w:rFonts w:ascii="Arial" w:hAnsi="Arial" w:cs="Arial"/>
                    <w:color w:val="231F20"/>
                    <w:spacing w:val="21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and Laboratory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3113,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Research Design in Psychology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3123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AND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3121, Experimental Methods in Psychology and Laboratory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</w:t>
                </w:r>
              </w:p>
            </w:tc>
          </w:tr>
          <w:tr w:rsidR="009B2F2B" w:rsidRPr="003830C1" w:rsidTr="003F3921">
            <w:trPr>
              <w:trHeight w:hRule="exact" w:val="1111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lastRenderedPageBreak/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Natural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Science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two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87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3214, Introduction to Neuroscience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3303, Motivation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06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4323, Physiological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4343, Learning Processes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4363, Cognitive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40" w:lineRule="auto"/>
                  <w:ind w:left="43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4383, Introduction to Behavior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6-7</w:t>
                </w:r>
              </w:p>
            </w:tc>
          </w:tr>
          <w:tr w:rsidR="009B2F2B" w:rsidRPr="003830C1" w:rsidTr="003F3921">
            <w:trPr>
              <w:trHeight w:hRule="exact" w:val="1543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>as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Social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Science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three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486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Only two of the three following courses may be used to satisfy the requirements for this category: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3403,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3413 and PSY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>3453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40" w:lineRule="auto"/>
                  <w:ind w:left="43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3403, Child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430" w:right="296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3413,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Adolescent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3453, Developmental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3523, Social Psychology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253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3823, History of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4533,</w:t>
                </w:r>
                <w:r w:rsidRPr="003830C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Abnormal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4553, Personality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Theory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9B2F2B" w:rsidRPr="003830C1" w:rsidTr="003F3921">
            <w:trPr>
              <w:trHeight w:hRule="exact" w:val="168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Integrative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Psychology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(select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twelve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hours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from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following):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6" w:after="0" w:line="250" w:lineRule="auto"/>
                  <w:ind w:left="340" w:right="30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i/>
                    <w:iCs/>
                    <w:color w:val="231F20"/>
                    <w:sz w:val="12"/>
                    <w:szCs w:val="12"/>
                  </w:rPr>
                  <w:t xml:space="preserve">Courses from Psychology as a Natural Science or Psychology as a Social Science may be substituted for courses in this </w:t>
                </w:r>
                <w:r w:rsidRPr="003830C1">
                  <w:rPr>
                    <w:rFonts w:ascii="Arial" w:hAnsi="Arial" w:cs="Arial"/>
                    <w:i/>
                    <w:iCs/>
                    <w:color w:val="231F20"/>
                    <w:spacing w:val="-1"/>
                    <w:sz w:val="12"/>
                    <w:szCs w:val="12"/>
                  </w:rPr>
                  <w:t>category.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13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3603, Positive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3613, Cultural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3703, Educational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380V,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Special Problems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352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4053,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Today’s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Families</w:t>
                </w:r>
                <w:r w:rsidRPr="003830C1">
                  <w:rPr>
                    <w:rFonts w:ascii="Arial" w:hAnsi="Arial" w:cs="Arial"/>
                    <w:color w:val="231F20"/>
                    <w:spacing w:val="25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4173, Psychometrics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after="0" w:line="250" w:lineRule="auto"/>
                  <w:ind w:left="430" w:right="2986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4723, Organizational Psychology PSY</w:t>
                </w:r>
                <w:r w:rsidRPr="003830C1">
                  <w:rPr>
                    <w:rFonts w:ascii="Arial" w:hAnsi="Arial" w:cs="Arial"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4853, Psychological Seminar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12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41-45</w:t>
                </w: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Minor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or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0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Area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of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Concentration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(as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approved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3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6"/>
                    <w:szCs w:val="16"/>
                  </w:rPr>
                  <w:t>by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4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6"/>
                    <w:szCs w:val="16"/>
                  </w:rPr>
                  <w:t>advisor):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18-24</w:t>
                </w: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Electives: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8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Hrs.</w:t>
                </w:r>
              </w:p>
            </w:tc>
          </w:tr>
          <w:tr w:rsidR="009B2F2B" w:rsidRPr="003830C1" w:rsidTr="003F3921">
            <w:trPr>
              <w:trHeight w:hRule="exact" w:val="247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Electives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Arial" w:hAnsi="Arial" w:cs="Arial"/>
                    <w:b/>
                    <w:bCs/>
                    <w:color w:val="4F81BD" w:themeColor="accent1"/>
                    <w:sz w:val="18"/>
                    <w:szCs w:val="12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strike/>
                    <w:color w:val="FF0000"/>
                    <w:sz w:val="12"/>
                    <w:szCs w:val="12"/>
                  </w:rPr>
                  <w:t>13-23</w:t>
                </w:r>
                <w:r>
                  <w:rPr>
                    <w:rFonts w:ascii="Arial" w:hAnsi="Arial" w:cs="Arial"/>
                    <w:b/>
                    <w:bCs/>
                    <w:color w:val="4F81BD" w:themeColor="accent1"/>
                    <w:sz w:val="18"/>
                    <w:szCs w:val="12"/>
                  </w:rPr>
                  <w:t xml:space="preserve"> 37-41</w:t>
                </w:r>
              </w:p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trike/>
                    <w:sz w:val="24"/>
                    <w:szCs w:val="24"/>
                  </w:rPr>
                </w:pPr>
              </w:p>
            </w:tc>
          </w:tr>
          <w:tr w:rsidR="009B2F2B" w:rsidRPr="003830C1" w:rsidTr="003F3921">
            <w:trPr>
              <w:trHeight w:hRule="exact" w:val="276"/>
            </w:trPr>
            <w:tc>
              <w:tcPr>
                <w:tcW w:w="5465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3"/>
                    <w:sz w:val="16"/>
                    <w:szCs w:val="16"/>
                  </w:rPr>
                  <w:t>Total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Required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4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5" w:space="0" w:color="231F20"/>
                </w:tcBorders>
                <w:shd w:val="clear" w:color="auto" w:fill="BCBEC0"/>
              </w:tcPr>
              <w:p w:rsidR="009B2F2B" w:rsidRPr="003830C1" w:rsidRDefault="009B2F2B" w:rsidP="003F3921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830C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>120</w:t>
                </w:r>
              </w:p>
            </w:tc>
          </w:tr>
        </w:tbl>
        <w:p w:rsidR="009B2F2B" w:rsidRDefault="009B2F2B" w:rsidP="009B2F2B"/>
        <w:p w:rsidR="00CD7510" w:rsidRPr="008426D1" w:rsidRDefault="00385C77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95" w:rsidRDefault="00562995" w:rsidP="00AF3758">
      <w:pPr>
        <w:spacing w:after="0" w:line="240" w:lineRule="auto"/>
      </w:pPr>
      <w:r>
        <w:separator/>
      </w:r>
    </w:p>
  </w:endnote>
  <w:endnote w:type="continuationSeparator" w:id="0">
    <w:p w:rsidR="00562995" w:rsidRDefault="00562995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C77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95" w:rsidRDefault="00562995" w:rsidP="00AF3758">
      <w:pPr>
        <w:spacing w:after="0" w:line="240" w:lineRule="auto"/>
      </w:pPr>
      <w:r>
        <w:separator/>
      </w:r>
    </w:p>
  </w:footnote>
  <w:footnote w:type="continuationSeparator" w:id="0">
    <w:p w:rsidR="00562995" w:rsidRDefault="00562995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41A5A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0AA"/>
    <w:rsid w:val="00374D72"/>
    <w:rsid w:val="00384538"/>
    <w:rsid w:val="00385C77"/>
    <w:rsid w:val="0039532B"/>
    <w:rsid w:val="003A05F4"/>
    <w:rsid w:val="003C0ED1"/>
    <w:rsid w:val="003C1EE2"/>
    <w:rsid w:val="00400712"/>
    <w:rsid w:val="004072F1"/>
    <w:rsid w:val="00471ED4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2995"/>
    <w:rsid w:val="00563E52"/>
    <w:rsid w:val="00584C22"/>
    <w:rsid w:val="00591D0D"/>
    <w:rsid w:val="00592A95"/>
    <w:rsid w:val="005B2E9E"/>
    <w:rsid w:val="006179CB"/>
    <w:rsid w:val="00632BB7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B2F2B"/>
    <w:rsid w:val="009E1AA5"/>
    <w:rsid w:val="00A01035"/>
    <w:rsid w:val="00A0329C"/>
    <w:rsid w:val="00A16BB1"/>
    <w:rsid w:val="00A26020"/>
    <w:rsid w:val="00A34100"/>
    <w:rsid w:val="00A5089E"/>
    <w:rsid w:val="00A56D36"/>
    <w:rsid w:val="00AB5523"/>
    <w:rsid w:val="00AD2665"/>
    <w:rsid w:val="00AD2FB4"/>
    <w:rsid w:val="00AF20FF"/>
    <w:rsid w:val="00AF3758"/>
    <w:rsid w:val="00AF3C6A"/>
    <w:rsid w:val="00B1628A"/>
    <w:rsid w:val="00B24A85"/>
    <w:rsid w:val="00B35368"/>
    <w:rsid w:val="00B75BAC"/>
    <w:rsid w:val="00B7606A"/>
    <w:rsid w:val="00BD2A0D"/>
    <w:rsid w:val="00BE069E"/>
    <w:rsid w:val="00C12816"/>
    <w:rsid w:val="00C132F9"/>
    <w:rsid w:val="00C23CC7"/>
    <w:rsid w:val="00C334FF"/>
    <w:rsid w:val="00C723B8"/>
    <w:rsid w:val="00C862A9"/>
    <w:rsid w:val="00CA6230"/>
    <w:rsid w:val="00CD7510"/>
    <w:rsid w:val="00D0686A"/>
    <w:rsid w:val="00D25D5E"/>
    <w:rsid w:val="00D51205"/>
    <w:rsid w:val="00D57716"/>
    <w:rsid w:val="00D6321E"/>
    <w:rsid w:val="00D654AF"/>
    <w:rsid w:val="00D67AC4"/>
    <w:rsid w:val="00D72E20"/>
    <w:rsid w:val="00D76DEE"/>
    <w:rsid w:val="00D979DD"/>
    <w:rsid w:val="00DA3F9B"/>
    <w:rsid w:val="00DB3983"/>
    <w:rsid w:val="00E45868"/>
    <w:rsid w:val="00E45C0A"/>
    <w:rsid w:val="00E70F88"/>
    <w:rsid w:val="00EB4FF5"/>
    <w:rsid w:val="00EC6970"/>
    <w:rsid w:val="00ED020E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B2F2B"/>
    <w:pPr>
      <w:spacing w:after="120" w:line="259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ilkinson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registrar.astate.ed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04E07"/>
    <w:rsid w:val="00724E33"/>
    <w:rsid w:val="007B5EE7"/>
    <w:rsid w:val="007C429E"/>
    <w:rsid w:val="0088172E"/>
    <w:rsid w:val="00891A43"/>
    <w:rsid w:val="008B1DE5"/>
    <w:rsid w:val="009C0E11"/>
    <w:rsid w:val="00AC3009"/>
    <w:rsid w:val="00AD5D56"/>
    <w:rsid w:val="00B10352"/>
    <w:rsid w:val="00B2559E"/>
    <w:rsid w:val="00B408ED"/>
    <w:rsid w:val="00B46AFF"/>
    <w:rsid w:val="00BA2926"/>
    <w:rsid w:val="00C16165"/>
    <w:rsid w:val="00C35680"/>
    <w:rsid w:val="00CD4EF8"/>
    <w:rsid w:val="00F1249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6</cp:revision>
  <dcterms:created xsi:type="dcterms:W3CDTF">2017-10-02T19:47:00Z</dcterms:created>
  <dcterms:modified xsi:type="dcterms:W3CDTF">2017-11-03T19:47:00Z</dcterms:modified>
</cp:coreProperties>
</file>